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070.0" w:type="dxa"/>
        <w:jc w:val="left"/>
        <w:tblInd w:w="-783.0" w:type="dxa"/>
        <w:tblLayout w:type="fixed"/>
        <w:tblLook w:val="0000"/>
      </w:tblPr>
      <w:tblGrid>
        <w:gridCol w:w="1335"/>
        <w:gridCol w:w="5865"/>
        <w:gridCol w:w="3870"/>
        <w:tblGridChange w:id="0">
          <w:tblGrid>
            <w:gridCol w:w="1335"/>
            <w:gridCol w:w="5865"/>
            <w:gridCol w:w="3870"/>
          </w:tblGrid>
        </w:tblGridChange>
      </w:tblGrid>
      <w:tr>
        <w:trPr>
          <w:cantSplit w:val="1"/>
          <w:trHeight w:val="99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695325" cy="546100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546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UNIVERSIDADE FEDERAL DE VIÇOSA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Pró-Reitoria de Extensão e Cultura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Diretoria de Arte, Cultura e Eventos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pStyle w:val="Heading6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Divisão de Eventos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PROPOSIÇÃO DE EVENTO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                 INSTITUCIONAL</w:t>
            </w:r>
          </w:p>
        </w:tc>
      </w:tr>
    </w:tbl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6"/>
          <w:szCs w:val="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070.0" w:type="dxa"/>
        <w:jc w:val="left"/>
        <w:tblInd w:w="-783.9999999999999" w:type="dxa"/>
        <w:tblLayout w:type="fixed"/>
        <w:tblLook w:val="0000"/>
      </w:tblPr>
      <w:tblGrid>
        <w:gridCol w:w="375"/>
        <w:gridCol w:w="1965"/>
        <w:gridCol w:w="2040"/>
        <w:gridCol w:w="660"/>
        <w:gridCol w:w="1110"/>
        <w:gridCol w:w="435"/>
        <w:gridCol w:w="195"/>
        <w:gridCol w:w="525"/>
        <w:gridCol w:w="1065"/>
        <w:gridCol w:w="2700"/>
        <w:tblGridChange w:id="0">
          <w:tblGrid>
            <w:gridCol w:w="375"/>
            <w:gridCol w:w="1965"/>
            <w:gridCol w:w="2040"/>
            <w:gridCol w:w="660"/>
            <w:gridCol w:w="1110"/>
            <w:gridCol w:w="435"/>
            <w:gridCol w:w="195"/>
            <w:gridCol w:w="525"/>
            <w:gridCol w:w="1065"/>
            <w:gridCol w:w="2700"/>
          </w:tblGrid>
        </w:tblGridChange>
      </w:tblGrid>
      <w:tr>
        <w:trPr>
          <w:cantSplit w:val="1"/>
          <w:trHeight w:val="690.9375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after="40" w:before="40" w:lineRule="auto"/>
              <w:ind w:right="113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EVENTO</w:t>
            </w:r>
          </w:p>
        </w:tc>
        <w:tc>
          <w:tcPr>
            <w:gridSpan w:val="6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Denominação do Evento: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Código/Registro RAEN/RAEX: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312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Período de Realização do Evento: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     -     -     a      -     -    </w:t>
            </w:r>
          </w:p>
        </w:tc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Horário de Realização do Evento: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     as    </w:t>
            </w:r>
          </w:p>
        </w:tc>
      </w:tr>
      <w:tr>
        <w:trPr>
          <w:cantSplit w:val="1"/>
          <w:trHeight w:val="438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Período de Reserva de Espaço para Pré-Organização: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     -     -     a      -     -    </w:t>
            </w:r>
          </w:p>
        </w:tc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Horário de Realização da Pré-Organização: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     as    </w:t>
            </w:r>
          </w:p>
        </w:tc>
      </w:tr>
      <w:tr>
        <w:trPr>
          <w:cantSplit w:val="1"/>
          <w:trHeight w:val="438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Período de Reserva de Espaço para Pós-Evento: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     -     -     a      -     -    </w:t>
            </w:r>
          </w:p>
        </w:tc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Horário de Realização do Pós-Evento: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     as    </w:t>
            </w:r>
          </w:p>
        </w:tc>
      </w:tr>
      <w:tr>
        <w:trPr>
          <w:cantSplit w:val="1"/>
          <w:trHeight w:val="312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Nº de envolvidos na apresentação/organização: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Nº de Público:</w:t>
            </w:r>
          </w:p>
        </w:tc>
      </w:tr>
      <w:tr>
        <w:trPr>
          <w:cantSplit w:val="1"/>
          <w:trHeight w:val="58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Público-alvo:      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20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Espaços Fechados: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3znysh7" w:id="0"/>
            <w:bookmarkEnd w:id="0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 Auditório da Biblioteca Central (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160 lugares)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2et92p0" w:id="1"/>
            <w:bookmarkEnd w:id="1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 Hall da Biblioteca Central 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tyjcwt" w:id="2"/>
            <w:bookmarkEnd w:id="2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 Auditório do Dep. de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Engenharia Florestal(256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lugares)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3dy6vkm" w:id="3"/>
            <w:bookmarkEnd w:id="3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 Auditório do Dep. de Economia Rural (224 lugares)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1t3h5sf" w:id="4"/>
            <w:bookmarkEnd w:id="4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 Teatro do Dep. de Serviço Social (100 lu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gares)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4d34og8" w:id="5"/>
            <w:bookmarkEnd w:id="5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 Espaço Acadêmico-Cultural Fernando Sabino (700 lugares)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2s8eyo1" w:id="6"/>
            <w:bookmarkEnd w:id="6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 Espaço Multiuso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17dp8vu" w:id="7"/>
            <w:bookmarkEnd w:id="7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 Hall do Centro de Vivência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3rdcrjn" w:id="8"/>
            <w:bookmarkEnd w:id="8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 Mezanino do Centro de Vivência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26in1rg" w:id="9"/>
            <w:bookmarkEnd w:id="9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 Auditório do Dep. de Agronomia (174 lugares)</w:t>
            </w:r>
          </w:p>
          <w:p w:rsidR="00000000" w:rsidDel="00000000" w:rsidP="00000000" w:rsidRDefault="00000000" w:rsidRPr="00000000" w14:paraId="0000005C">
            <w:pPr>
              <w:rPr>
                <w:rFonts w:ascii="Calibri" w:cs="Calibri" w:eastAsia="Calibri" w:hAnsi="Calibri"/>
                <w:sz w:val="22"/>
                <w:szCs w:val="22"/>
              </w:rPr>
            </w:pPr>
            <w:bookmarkStart w:colFirst="0" w:colLast="0" w:name="_heading=h.26in1rg" w:id="9"/>
            <w:bookmarkEnd w:id="9"/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☐ Auditório do Dep. de Tecnologia de Alimentos (240 lugares)</w:t>
            </w:r>
          </w:p>
        </w:tc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Espaços Abertos: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lnxbz9" w:id="10"/>
            <w:bookmarkEnd w:id="10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 Recanto das Cigarras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35nkun2" w:id="11"/>
            <w:bookmarkEnd w:id="11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 Espaço Aberto de Eventos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1ksv4uv" w:id="12"/>
            <w:bookmarkEnd w:id="12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 Outros 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92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COORDENAÇÃO</w:t>
            </w:r>
          </w:p>
        </w:tc>
        <w:tc>
          <w:tcPr>
            <w:gridSpan w:val="7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Coordenador do Evento: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CPF: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492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Órgão/Entidade Promotor(a):</w:t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Telefone: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492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Cargo/Função do Coordenador: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Telefone: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</w:tr>
      <w:tr>
        <w:trPr>
          <w:cantSplit w:val="1"/>
          <w:trHeight w:val="492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-mail: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Celular: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1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OUTROS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Sim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Não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4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Taxa de Inscrição/Taxa do Convite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44sinio" w:id="13"/>
            <w:bookmarkEnd w:id="13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2jxsxqh" w:id="14"/>
            <w:bookmarkEnd w:id="14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Valor: R$</w:t>
            </w:r>
          </w:p>
        </w:tc>
      </w:tr>
      <w:tr>
        <w:trPr>
          <w:cantSplit w:val="1"/>
          <w:trHeight w:val="316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Bebida Alcoólica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2xcytpi" w:id="15"/>
            <w:bookmarkEnd w:id="15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heading=h.1ci93xb" w:id="16"/>
            <w:bookmarkEnd w:id="16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16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Ciente das responsabilidades de gerenciamento dos resíduos do evento?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☐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0" w:hRule="atLeast"/>
          <w:tblHeader w:val="0"/>
        </w:trPr>
        <w:tc>
          <w:tcPr>
            <w:gridSpan w:val="10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Caso seja necessário o acompanhamento da equipe de TI e/ou a disponibilização de rede Wi-Fi, solicitamos a abertura de um chamado pelo site</w:t>
            </w:r>
            <w:hyperlink r:id="rId8">
              <w:r w:rsidDel="00000000" w:rsidR="00000000" w:rsidRPr="00000000">
                <w:rPr>
                  <w:rFonts w:ascii="Calibri" w:cs="Calibri" w:eastAsia="Calibri" w:hAnsi="Calibri"/>
                  <w:rtl w:val="0"/>
                </w:rPr>
                <w:t xml:space="preserve"> </w:t>
              </w:r>
            </w:hyperlink>
            <w:hyperlink r:id="rId9">
              <w:r w:rsidDel="00000000" w:rsidR="00000000" w:rsidRPr="00000000">
                <w:rPr>
                  <w:rFonts w:ascii="Calibri" w:cs="Calibri" w:eastAsia="Calibri" w:hAnsi="Calibri"/>
                  <w:color w:val="1155cc"/>
                  <w:u w:val="single"/>
                  <w:rtl w:val="0"/>
                </w:rPr>
                <w:t xml:space="preserve">https://chamado.dti.ufv.br/</w:t>
              </w:r>
            </w:hyperlink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, com antecedência mínima de 15 dias.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PPO/485/07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36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36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Instruções: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hanging="36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Resolução 12/2011 (CONSELHO UNIVERSITÁRIO) que prescreve sobre a realização de eventos nos Campus da Universidade Federal de Viçosa está disponível no site da Divisão de Eventos.</w:t>
      </w:r>
    </w:p>
    <w:p w:rsidR="00000000" w:rsidDel="00000000" w:rsidP="00000000" w:rsidRDefault="00000000" w:rsidRPr="00000000" w14:paraId="000000D6">
      <w:pPr>
        <w:numPr>
          <w:ilvl w:val="0"/>
          <w:numId w:val="2"/>
        </w:numPr>
        <w:spacing w:after="120" w:lineRule="auto"/>
        <w:ind w:left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Formulários preenchidos manualmente não serão aceitos; a assinatura deve ser feita via Gov.br.</w:t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 Normas de Utilização dos Espaços Físicos, de responsabilidade da Divisão de Eventos, Campus Viçosa, estão disponíveis no mesmo site.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registro de evento institucional deve ser feito pelo Sistema RAEX/RAEN, tornando legal e legítima a atividade.</w:t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É imprescindível, durante a realização do evento, a presença do coordenador do evento, bem como, do parceiro institucional, nos casos de eventos em parceria.</w:t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reserva de espaços físicos somente será efetivada após análise dos pedidos pela Comissão de Pró-Reitores.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hanging="36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pagamento de taxas dos eventos Não-Institucional e Não-Institucional em Parceria deverá ocorrer no prazo de 05 (cinco) dias úteis antes da realização dos mesmos. 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hanging="36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UFV,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por meio da Divisão de Gerenciamento de Resíduos, coleta e destina apenas os resíduos gerados por eventos institucionais. Eventos de terceiros, realizados em espaços da UFV devem se programar para contratação de serviços de limpeza e destinação adequada dos resíduos, separados em Recicláveis, Orgânicos e Rejeitos. Cabe aos responsáveis por estes eventos, apresentar comprovação de destinação adequada (nota fiscal, certificado de destinação final ou documento equivalente) em até 5 (cinco) dias úteis após a finalização do evento para a Divisão de Gerenciamento de Resíduos através do e-mail </w:t>
      </w:r>
      <w:hyperlink r:id="rId10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residuos@ufv.br</w:t>
        </w:r>
      </w:hyperlink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. Maiores informações podem ser encontradas na página </w:t>
      </w:r>
      <w:hyperlink r:id="rId11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https://meioambiente.ufv.br/residuos/seja-um-unidade-lixo-zero/</w:t>
        </w:r>
      </w:hyperlink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6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Descritivo/Objetivo do Evento:</w:t>
      </w:r>
    </w:p>
    <w:tbl>
      <w:tblPr>
        <w:tblStyle w:val="Table3"/>
        <w:tblW w:w="10095.0" w:type="dxa"/>
        <w:jc w:val="left"/>
        <w:tblInd w:w="-318.0" w:type="dxa"/>
        <w:tblLayout w:type="fixed"/>
        <w:tblLook w:val="0000"/>
      </w:tblPr>
      <w:tblGrid>
        <w:gridCol w:w="10095"/>
        <w:tblGridChange w:id="0">
          <w:tblGrid>
            <w:gridCol w:w="100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Programação do Evento:</w:t>
      </w:r>
    </w:p>
    <w:tbl>
      <w:tblPr>
        <w:tblStyle w:val="Table4"/>
        <w:tblW w:w="10095.0" w:type="dxa"/>
        <w:jc w:val="left"/>
        <w:tblInd w:w="-318.0" w:type="dxa"/>
        <w:tblLayout w:type="fixed"/>
        <w:tblLook w:val="0000"/>
      </w:tblPr>
      <w:tblGrid>
        <w:gridCol w:w="10095"/>
        <w:tblGridChange w:id="0">
          <w:tblGrid>
            <w:gridCol w:w="100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6">
      <w:pPr>
        <w:pStyle w:val="Heading4"/>
        <w:numPr>
          <w:ilvl w:val="3"/>
          <w:numId w:val="1"/>
        </w:numPr>
        <w:ind w:left="0" w:hanging="864"/>
        <w:rPr>
          <w:rFonts w:ascii="Calibri" w:cs="Calibri" w:eastAsia="Calibri" w:hAnsi="Calibri"/>
        </w:rPr>
      </w:pPr>
      <w:bookmarkStart w:colFirst="0" w:colLast="0" w:name="_heading=h.cz67z53eh0td" w:id="17"/>
      <w:bookmarkEnd w:id="17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pStyle w:val="Heading4"/>
        <w:numPr>
          <w:ilvl w:val="3"/>
          <w:numId w:val="1"/>
        </w:numPr>
        <w:ind w:left="0" w:hanging="864"/>
        <w:rPr>
          <w:rFonts w:ascii="Calibri" w:cs="Calibri" w:eastAsia="Calibri" w:hAnsi="Calibri"/>
          <w:sz w:val="22"/>
          <w:szCs w:val="22"/>
        </w:rPr>
      </w:pPr>
      <w:bookmarkStart w:colFirst="0" w:colLast="0" w:name="_heading=h.3ngmnjryv010" w:id="18"/>
      <w:bookmarkEnd w:id="18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TERMO DE COMPROMISSO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Declaro conhecer os termos da Resolução 12/2011 do Conselho Universitário e as Normas de Utilização do Espaço Físico solicitado, assumindo o compromisso de cumpri-los, e estar ciente das minhas responsabilidades pela realização do evento      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Viçosa,       de       de      .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Assinatura digital do Coordenador.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Assinatura digital do Chefe da Unidade.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980.0" w:type="dxa"/>
        <w:jc w:val="left"/>
        <w:tblInd w:w="-783.9999999999999" w:type="dxa"/>
        <w:tblLayout w:type="fixed"/>
        <w:tblLook w:val="0000"/>
      </w:tblPr>
      <w:tblGrid>
        <w:gridCol w:w="2609"/>
        <w:gridCol w:w="2611"/>
        <w:gridCol w:w="2610"/>
        <w:gridCol w:w="3150"/>
        <w:tblGridChange w:id="0">
          <w:tblGrid>
            <w:gridCol w:w="2609"/>
            <w:gridCol w:w="2611"/>
            <w:gridCol w:w="2610"/>
            <w:gridCol w:w="3150"/>
          </w:tblGrid>
        </w:tblGridChange>
      </w:tblGrid>
      <w:tr>
        <w:trPr>
          <w:cantSplit w:val="1"/>
          <w:trHeight w:val="1428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COMISSÃO DE PRÓ-REITORES: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3whwml4" w:id="19"/>
            <w:bookmarkEnd w:id="19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DEFERIDO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bookmarkStart w:colFirst="0" w:colLast="0" w:name="_heading=h.2bn6wsx" w:id="20"/>
            <w:bookmarkEnd w:id="20"/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INDEFERIDO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pStyle w:val="Heading3"/>
              <w:numPr>
                <w:ilvl w:val="2"/>
                <w:numId w:val="1"/>
              </w:numPr>
              <w:ind w:left="0" w:firstLine="0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DATA     -       -      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9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Pró-Reitor de Administração</w:t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Pró-Reitor de Assuntos Comunitários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Pró-Reitor de Extensão e Cultura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Pró-Reitor de Planejamento e Orçamento</w:t>
            </w:r>
          </w:p>
        </w:tc>
      </w:tr>
      <w:tr>
        <w:trPr>
          <w:cantSplit w:val="1"/>
          <w:trHeight w:val="894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Observações:      </w:t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680" w:top="680" w:left="1134" w:right="851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/>
    </w:lvl>
    <w:lvl w:ilvl="1">
      <w:start w:val="1"/>
      <w:numFmt w:val="decimal"/>
      <w:lvlText w:val=""/>
      <w:lvlJc w:val="left"/>
      <w:pPr>
        <w:ind w:left="576" w:hanging="576"/>
      </w:pPr>
      <w:rPr/>
    </w:lvl>
    <w:lvl w:ilvl="2">
      <w:start w:val="1"/>
      <w:numFmt w:val="decimal"/>
      <w:lvlText w:val=""/>
      <w:lvlJc w:val="left"/>
      <w:pPr>
        <w:ind w:left="720" w:hanging="720"/>
      </w:pPr>
      <w:rPr/>
    </w:lvl>
    <w:lvl w:ilvl="3">
      <w:start w:val="1"/>
      <w:numFmt w:val="decimal"/>
      <w:lvlText w:val=""/>
      <w:lvlJc w:val="left"/>
      <w:pPr>
        <w:ind w:left="864" w:hanging="864"/>
      </w:pPr>
      <w:rPr/>
    </w:lvl>
    <w:lvl w:ilvl="4">
      <w:start w:val="1"/>
      <w:numFmt w:val="decimal"/>
      <w:lvlText w:val=""/>
      <w:lvlJc w:val="left"/>
      <w:pPr>
        <w:ind w:left="1008" w:hanging="1008"/>
      </w:pPr>
      <w:rPr/>
    </w:lvl>
    <w:lvl w:ilvl="5">
      <w:start w:val="1"/>
      <w:numFmt w:val="decimal"/>
      <w:lvlText w:val=""/>
      <w:lvlJc w:val="left"/>
      <w:pPr>
        <w:ind w:left="1152" w:hanging="1152"/>
      </w:pPr>
      <w:rPr/>
    </w:lvl>
    <w:lvl w:ilvl="6">
      <w:start w:val="1"/>
      <w:numFmt w:val="decimal"/>
      <w:lvlText w:val=""/>
      <w:lvlJc w:val="left"/>
      <w:pPr>
        <w:ind w:left="1296" w:hanging="1296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432" w:right="0" w:hanging="432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16"/>
      <w:szCs w:val="16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576" w:right="0" w:hanging="576"/>
      <w:jc w:val="center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0" w:line="240" w:lineRule="auto"/>
      <w:ind w:left="720" w:right="0" w:hanging="720"/>
      <w:jc w:val="center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14"/>
      <w:szCs w:val="1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864" w:right="0" w:hanging="864"/>
      <w:jc w:val="center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0" w:line="240" w:lineRule="auto"/>
      <w:ind w:left="1008" w:right="0" w:hanging="1008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18"/>
      <w:szCs w:val="18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1152" w:right="0" w:hanging="1152"/>
      <w:jc w:val="center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18"/>
      <w:szCs w:val="18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Ttulo7">
    <w:name w:val="heading 7"/>
    <w:basedOn w:val="normal1"/>
    <w:next w:val="normal1"/>
    <w:qFormat w:val="1"/>
    <w:pPr>
      <w:keepNext w:val="1"/>
      <w:numPr>
        <w:ilvl w:val="6"/>
        <w:numId w:val="1"/>
      </w:numPr>
      <w:jc w:val="center"/>
      <w:outlineLvl w:val="6"/>
    </w:pPr>
    <w:rPr>
      <w:b w:val="1"/>
      <w:bCs w:val="1"/>
      <w:sz w:val="48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WW8Num2z0" w:customStyle="1">
    <w:name w:val="WW8Num2z0"/>
    <w:qFormat w:val="1"/>
    <w:rPr>
      <w:rFonts w:ascii="Symbol" w:cs="Symbol" w:hAnsi="Symbol"/>
    </w:rPr>
  </w:style>
  <w:style w:type="character" w:styleId="WW8Num1z0" w:customStyle="1">
    <w:name w:val="WW8Num1z0"/>
    <w:qFormat w:val="1"/>
  </w:style>
  <w:style w:type="character" w:styleId="WW8Num1z1" w:customStyle="1">
    <w:name w:val="WW8Num1z1"/>
    <w:qFormat w:val="1"/>
  </w:style>
  <w:style w:type="character" w:styleId="WW8Num1z2" w:customStyle="1">
    <w:name w:val="WW8Num1z2"/>
    <w:qFormat w:val="1"/>
  </w:style>
  <w:style w:type="character" w:styleId="WW8Num1z3" w:customStyle="1">
    <w:name w:val="WW8Num1z3"/>
    <w:qFormat w:val="1"/>
  </w:style>
  <w:style w:type="character" w:styleId="WW8Num1z4" w:customStyle="1">
    <w:name w:val="WW8Num1z4"/>
    <w:qFormat w:val="1"/>
  </w:style>
  <w:style w:type="character" w:styleId="WW8Num1z5" w:customStyle="1">
    <w:name w:val="WW8Num1z5"/>
    <w:qFormat w:val="1"/>
  </w:style>
  <w:style w:type="character" w:styleId="WW8Num1z6" w:customStyle="1">
    <w:name w:val="WW8Num1z6"/>
    <w:qFormat w:val="1"/>
  </w:style>
  <w:style w:type="character" w:styleId="WW8Num1z7" w:customStyle="1">
    <w:name w:val="WW8Num1z7"/>
    <w:qFormat w:val="1"/>
  </w:style>
  <w:style w:type="character" w:styleId="WW8Num1z8" w:customStyle="1">
    <w:name w:val="WW8Num1z8"/>
    <w:qFormat w:val="1"/>
  </w:style>
  <w:style w:type="character" w:styleId="WW8Num2z1" w:customStyle="1">
    <w:name w:val="WW8Num2z1"/>
    <w:qFormat w:val="1"/>
  </w:style>
  <w:style w:type="character" w:styleId="WW8Num2z2" w:customStyle="1">
    <w:name w:val="WW8Num2z2"/>
    <w:qFormat w:val="1"/>
  </w:style>
  <w:style w:type="character" w:styleId="WW8Num2z3" w:customStyle="1">
    <w:name w:val="WW8Num2z3"/>
    <w:qFormat w:val="1"/>
  </w:style>
  <w:style w:type="character" w:styleId="WW8Num2z4" w:customStyle="1">
    <w:name w:val="WW8Num2z4"/>
    <w:qFormat w:val="1"/>
  </w:style>
  <w:style w:type="character" w:styleId="WW8Num2z5" w:customStyle="1">
    <w:name w:val="WW8Num2z5"/>
    <w:qFormat w:val="1"/>
  </w:style>
  <w:style w:type="character" w:styleId="WW8Num2z6" w:customStyle="1">
    <w:name w:val="WW8Num2z6"/>
    <w:qFormat w:val="1"/>
  </w:style>
  <w:style w:type="character" w:styleId="WW8Num2z7" w:customStyle="1">
    <w:name w:val="WW8Num2z7"/>
    <w:qFormat w:val="1"/>
  </w:style>
  <w:style w:type="character" w:styleId="WW8Num2z8" w:customStyle="1">
    <w:name w:val="WW8Num2z8"/>
    <w:qFormat w:val="1"/>
  </w:style>
  <w:style w:type="character" w:styleId="WW8Num3z0" w:customStyle="1">
    <w:name w:val="WW8Num3z0"/>
    <w:qFormat w:val="1"/>
    <w:rPr>
      <w:rFonts w:ascii="Symbol" w:cs="Symbol" w:hAnsi="Symbol"/>
      <w:color w:val="000000"/>
      <w:sz w:val="22"/>
      <w:szCs w:val="22"/>
    </w:rPr>
  </w:style>
  <w:style w:type="character" w:styleId="WW8Num4z0" w:customStyle="1">
    <w:name w:val="WW8Num4z0"/>
    <w:qFormat w:val="1"/>
    <w:rPr>
      <w:rFonts w:ascii="Symbol" w:cs="Symbol" w:hAnsi="Symbol"/>
    </w:rPr>
  </w:style>
  <w:style w:type="character" w:styleId="WW8Num3z1" w:customStyle="1">
    <w:name w:val="WW8Num3z1"/>
    <w:qFormat w:val="1"/>
  </w:style>
  <w:style w:type="character" w:styleId="WW8Num3z2" w:customStyle="1">
    <w:name w:val="WW8Num3z2"/>
    <w:qFormat w:val="1"/>
  </w:style>
  <w:style w:type="character" w:styleId="WW8Num3z3" w:customStyle="1">
    <w:name w:val="WW8Num3z3"/>
    <w:qFormat w:val="1"/>
  </w:style>
  <w:style w:type="character" w:styleId="WW8Num3z4" w:customStyle="1">
    <w:name w:val="WW8Num3z4"/>
    <w:qFormat w:val="1"/>
  </w:style>
  <w:style w:type="character" w:styleId="WW8Num3z5" w:customStyle="1">
    <w:name w:val="WW8Num3z5"/>
    <w:qFormat w:val="1"/>
  </w:style>
  <w:style w:type="character" w:styleId="WW8Num3z6" w:customStyle="1">
    <w:name w:val="WW8Num3z6"/>
    <w:qFormat w:val="1"/>
  </w:style>
  <w:style w:type="character" w:styleId="WW8Num3z7" w:customStyle="1">
    <w:name w:val="WW8Num3z7"/>
    <w:qFormat w:val="1"/>
  </w:style>
  <w:style w:type="character" w:styleId="WW8Num3z8" w:customStyle="1">
    <w:name w:val="WW8Num3z8"/>
    <w:qFormat w:val="1"/>
  </w:style>
  <w:style w:type="character" w:styleId="WW8Num5z0" w:customStyle="1">
    <w:name w:val="WW8Num5z0"/>
    <w:qFormat w:val="1"/>
    <w:rPr>
      <w:rFonts w:ascii="Symbol" w:cs="Symbol" w:hAnsi="Symbol"/>
    </w:rPr>
  </w:style>
  <w:style w:type="character" w:styleId="InternetLink" w:customStyle="1">
    <w:name w:val="Internet Link"/>
    <w:basedOn w:val="Fontepargpadro"/>
    <w:qFormat w:val="1"/>
    <w:rPr>
      <w:color w:val="0000ff"/>
      <w:u w:val="single"/>
    </w:rPr>
  </w:style>
  <w:style w:type="character" w:styleId="CorpodetextoChar" w:customStyle="1">
    <w:name w:val="Corpo de texto Char"/>
    <w:basedOn w:val="Fontepargpadro"/>
    <w:qFormat w:val="1"/>
    <w:rPr>
      <w:b w:val="1"/>
      <w:bCs w:val="1"/>
      <w:sz w:val="18"/>
      <w:szCs w:val="24"/>
    </w:rPr>
  </w:style>
  <w:style w:type="character" w:styleId="CabealhoChar" w:customStyle="1">
    <w:name w:val="Cabeçalho Char"/>
    <w:basedOn w:val="Fontepargpadro"/>
    <w:qFormat w:val="1"/>
    <w:rPr>
      <w:sz w:val="24"/>
      <w:szCs w:val="24"/>
    </w:rPr>
  </w:style>
  <w:style w:type="character" w:styleId="Hyperlink">
    <w:name w:val="Hyperlink"/>
    <w:rPr>
      <w:color w:val="000080"/>
      <w:u w:val="single"/>
    </w:rPr>
  </w:style>
  <w:style w:type="paragraph" w:styleId="Corpodetexto">
    <w:name w:val="Body Text"/>
    <w:basedOn w:val="normal1"/>
    <w:pPr>
      <w:jc w:val="center"/>
    </w:pPr>
    <w:rPr>
      <w:b w:val="1"/>
      <w:bCs w:val="1"/>
      <w:sz w:val="18"/>
    </w:rPr>
  </w:style>
  <w:style w:type="paragraph" w:styleId="Lista">
    <w:name w:val="List"/>
    <w:basedOn w:val="Corpodetexto"/>
    <w:rPr>
      <w:rFonts w:cs="Lohit Hindi"/>
    </w:rPr>
  </w:style>
  <w:style w:type="paragraph" w:styleId="Legenda">
    <w:name w:val="caption"/>
    <w:basedOn w:val="normal1"/>
    <w:qFormat w:val="1"/>
    <w:pPr>
      <w:suppressLineNumbers w:val="1"/>
      <w:spacing w:after="120" w:before="120"/>
    </w:pPr>
    <w:rPr>
      <w:rFonts w:cs="Lucida Sans"/>
      <w:i w:val="1"/>
      <w:iCs w:val="1"/>
    </w:rPr>
  </w:style>
  <w:style w:type="paragraph" w:styleId="ndice" w:customStyle="1">
    <w:name w:val="Índice"/>
    <w:basedOn w:val="normal1"/>
    <w:qFormat w:val="1"/>
    <w:pPr>
      <w:suppressLineNumbers w:val="1"/>
    </w:pPr>
    <w:rPr>
      <w:rFonts w:cs="Lohit Hindi"/>
    </w:rPr>
  </w:style>
  <w:style w:type="paragraph" w:styleId="normal1" w:customStyle="1">
    <w:name w:val="normal1"/>
    <w:qFormat w:val="1"/>
  </w:style>
  <w:style w:type="paragraph" w:styleId="caption1" w:customStyle="1">
    <w:name w:val="caption1"/>
    <w:basedOn w:val="normal1"/>
    <w:qFormat w:val="1"/>
    <w:pPr>
      <w:suppressLineNumbers w:val="1"/>
      <w:spacing w:after="120" w:before="120"/>
    </w:pPr>
    <w:rPr>
      <w:rFonts w:cs="Lohit Hindi"/>
      <w:i w:val="1"/>
      <w:iCs w:val="1"/>
    </w:rPr>
  </w:style>
  <w:style w:type="paragraph" w:styleId="Corpodetexto2">
    <w:name w:val="Body Text 2"/>
    <w:basedOn w:val="normal1"/>
    <w:qFormat w:val="1"/>
    <w:rPr>
      <w:sz w:val="20"/>
    </w:rPr>
  </w:style>
  <w:style w:type="paragraph" w:styleId="Corpodetexto3">
    <w:name w:val="Body Text 3"/>
    <w:basedOn w:val="normal1"/>
    <w:qFormat w:val="1"/>
    <w:pPr>
      <w:jc w:val="center"/>
    </w:pPr>
  </w:style>
  <w:style w:type="paragraph" w:styleId="NormalWeb">
    <w:name w:val="Normal (Web)"/>
    <w:basedOn w:val="normal1"/>
    <w:qFormat w:val="1"/>
    <w:pPr>
      <w:spacing w:after="100" w:before="100"/>
    </w:pPr>
    <w:rPr>
      <w:color w:val="000000"/>
    </w:rPr>
  </w:style>
  <w:style w:type="paragraph" w:styleId="Textodebalo">
    <w:name w:val="Balloon Text"/>
    <w:basedOn w:val="normal1"/>
    <w:qFormat w:val="1"/>
    <w:rPr>
      <w:rFonts w:ascii="Tahoma" w:cs="Tahoma" w:hAnsi="Tahoma"/>
      <w:sz w:val="16"/>
      <w:szCs w:val="16"/>
    </w:rPr>
  </w:style>
  <w:style w:type="paragraph" w:styleId="info" w:customStyle="1">
    <w:name w:val="info"/>
    <w:basedOn w:val="normal1"/>
    <w:qFormat w:val="1"/>
    <w:pPr>
      <w:spacing w:after="100" w:before="100"/>
      <w:jc w:val="both"/>
    </w:pPr>
    <w:rPr>
      <w:color w:val="000000"/>
      <w:sz w:val="20"/>
      <w:szCs w:val="20"/>
    </w:rPr>
  </w:style>
  <w:style w:type="paragraph" w:styleId="CabealhoeRodap" w:customStyle="1">
    <w:name w:val="Cabeçalho e Rodapé"/>
    <w:basedOn w:val="normal1"/>
    <w:qFormat w:val="1"/>
    <w:pPr>
      <w:suppressLineNumbers w:val="1"/>
      <w:tabs>
        <w:tab w:val="center" w:pos="4819"/>
        <w:tab w:val="right" w:pos="9638"/>
      </w:tabs>
    </w:pPr>
  </w:style>
  <w:style w:type="paragraph" w:styleId="Cabealhoerodap1" w:customStyle="1">
    <w:name w:val="Cabeçalho e rodapé1"/>
    <w:basedOn w:val="normal1"/>
    <w:qFormat w:val="1"/>
    <w:pPr>
      <w:suppressLineNumbers w:val="1"/>
      <w:tabs>
        <w:tab w:val="center" w:pos="4819"/>
        <w:tab w:val="right" w:pos="9638"/>
      </w:tabs>
    </w:pPr>
  </w:style>
  <w:style w:type="paragraph" w:styleId="Cabealhoerodap2" w:customStyle="1">
    <w:name w:val="Cabeçalho e rodapé2"/>
    <w:basedOn w:val="normal1"/>
    <w:qFormat w:val="1"/>
    <w:pPr>
      <w:suppressLineNumbers w:val="1"/>
      <w:tabs>
        <w:tab w:val="center" w:pos="4819"/>
        <w:tab w:val="right" w:pos="9638"/>
      </w:tabs>
    </w:pPr>
  </w:style>
  <w:style w:type="paragraph" w:styleId="Cabealhoerodap3" w:customStyle="1">
    <w:name w:val="Cabeçalho e rodapé3"/>
    <w:basedOn w:val="Normal"/>
    <w:qFormat w:val="1"/>
  </w:style>
  <w:style w:type="paragraph" w:styleId="Cabealhoerodap4" w:customStyle="1">
    <w:name w:val="Cabeçalho e rodapé4"/>
    <w:basedOn w:val="Normal"/>
    <w:qFormat w:val="1"/>
  </w:style>
  <w:style w:type="paragraph" w:styleId="Cabealho">
    <w:name w:val="header"/>
    <w:basedOn w:val="normal1"/>
    <w:pPr>
      <w:tabs>
        <w:tab w:val="center" w:pos="4419"/>
        <w:tab w:val="right" w:pos="8838"/>
      </w:tabs>
      <w:spacing w:before="120"/>
      <w:ind w:firstLine="1134"/>
      <w:jc w:val="both"/>
    </w:pPr>
  </w:style>
  <w:style w:type="paragraph" w:styleId="Contedodatabela" w:customStyle="1">
    <w:name w:val="Conteúdo da tabela"/>
    <w:basedOn w:val="normal1"/>
    <w:qFormat w:val="1"/>
    <w:pPr>
      <w:suppressLineNumbers w:val="1"/>
    </w:pPr>
  </w:style>
  <w:style w:type="paragraph" w:styleId="Ttulodetabela" w:customStyle="1">
    <w:name w:val="Título de tabela"/>
    <w:basedOn w:val="Contedodatabela"/>
    <w:qFormat w:val="1"/>
    <w:pPr>
      <w:jc w:val="center"/>
    </w:pPr>
    <w:rPr>
      <w:b w:val="1"/>
      <w:bCs w:val="1"/>
    </w:rPr>
  </w:style>
  <w:style w:type="numbering" w:styleId="WW8Num1" w:customStyle="1">
    <w:name w:val="WW8Num1"/>
    <w:qFormat w:val="1"/>
  </w:style>
  <w:style w:type="numbering" w:styleId="WW8Num2" w:customStyle="1">
    <w:name w:val="WW8Num2"/>
    <w:qFormat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meioambiente.ufv.br/residuos/seja-um-unidade-lixo-zero/" TargetMode="External"/><Relationship Id="rId10" Type="http://schemas.openxmlformats.org/officeDocument/2006/relationships/hyperlink" Target="mailto:residuos@ufv.br" TargetMode="External"/><Relationship Id="rId9" Type="http://schemas.openxmlformats.org/officeDocument/2006/relationships/hyperlink" Target="https://chamado.dti.ufv.br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chamado.dti.ufv.br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JEuPOMgL0e5cotlHaGfvXLYJ4w==">CgMxLjAyCWguM3pueXNoNzIJaC4yZXQ5MnAwMghoLnR5amN3dDIJaC4zZHk2dmttMgloLjF0M2g1c2YyCWguNGQzNG9nODIJaC4yczhleW8xMgloLjE3ZHA4dnUyCWguM3JkY3JqbjIJaC4yNmluMXJnMgloLjI2aW4xcmcyCGgubG54Yno5MgloLjM1bmt1bjIyCWguMWtzdjR1djIJaC40NHNpbmlvMgloLjJqeHN4cWgyCWguMnhjeXRwaTIJaC4xY2k5M3hiMg5oLmN6Njd6NTNlaDB0ZDIOaC4zbmdtbmpyeXYwMTAyCWguM3dod21sNDIJaC4yYm42d3N4OAByITFxVElBZTJFcDV5TjRlS1hhaUVFT1Rjbm85UXVBX1pZ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2012-10-15T08:45:00Z</dcterms:created>
  <dc:creator>Revista Ação Ambiental</dc:creator>
</cp:coreProperties>
</file>