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1220.0" w:type="dxa"/>
        <w:jc w:val="left"/>
        <w:tblInd w:w="-783.0" w:type="dxa"/>
        <w:tblLayout w:type="fixed"/>
        <w:tblLook w:val="0000"/>
      </w:tblPr>
      <w:tblGrid>
        <w:gridCol w:w="1335"/>
        <w:gridCol w:w="5865"/>
        <w:gridCol w:w="4020"/>
        <w:tblGridChange w:id="0">
          <w:tblGrid>
            <w:gridCol w:w="1335"/>
            <w:gridCol w:w="5865"/>
            <w:gridCol w:w="4020"/>
          </w:tblGrid>
        </w:tblGridChange>
      </w:tblGrid>
      <w:tr>
        <w:trPr>
          <w:cantSplit w:val="1"/>
          <w:trHeight w:val="990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695325" cy="546100"/>
                  <wp:effectExtent b="0" l="0" r="0" t="0"/>
                  <wp:docPr id="3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5325" cy="5461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UNIVERSIDADE FEDERAL DE VIÇOSA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Pró-Reitoria de Extensão e Cultura</w:t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Diretoria de Arte, Cultura e Eventos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pStyle w:val="Heading6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Divisão de Eventos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PROPOSIÇÃO DE EVENTO</w:t>
            </w:r>
          </w:p>
          <w:p w:rsidR="00000000" w:rsidDel="00000000" w:rsidP="00000000" w:rsidRDefault="00000000" w:rsidRPr="00000000" w14:paraId="00000008">
            <w:pPr>
              <w:jc w:val="both"/>
              <w:rPr>
                <w:rFonts w:ascii="Calibri" w:cs="Calibri" w:eastAsia="Calibri" w:hAnsi="Calibri"/>
                <w:b w:val="1"/>
                <w:bCs w:val="1"/>
              </w:rPr>
            </w:pPr>
            <w:bookmarkStart w:colFirst="0" w:colLast="0" w:name="_heading=h.1fob9te" w:id="0"/>
            <w:bookmarkEnd w:id="0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   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NÃO-INSTITUCIONAL EM PARCERIA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6"/>
          <w:szCs w:val="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6"/>
          <w:szCs w:val="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1235.0" w:type="dxa"/>
        <w:jc w:val="left"/>
        <w:tblInd w:w="-783.9999999999999" w:type="dxa"/>
        <w:tblLayout w:type="fixed"/>
        <w:tblLook w:val="0000"/>
      </w:tblPr>
      <w:tblGrid>
        <w:gridCol w:w="375"/>
        <w:gridCol w:w="1965"/>
        <w:gridCol w:w="3195"/>
        <w:gridCol w:w="465"/>
        <w:gridCol w:w="105"/>
        <w:gridCol w:w="735"/>
        <w:gridCol w:w="105"/>
        <w:gridCol w:w="525"/>
        <w:gridCol w:w="105"/>
        <w:gridCol w:w="3660"/>
        <w:tblGridChange w:id="0">
          <w:tblGrid>
            <w:gridCol w:w="375"/>
            <w:gridCol w:w="1965"/>
            <w:gridCol w:w="3195"/>
            <w:gridCol w:w="465"/>
            <w:gridCol w:w="105"/>
            <w:gridCol w:w="735"/>
            <w:gridCol w:w="105"/>
            <w:gridCol w:w="525"/>
            <w:gridCol w:w="105"/>
            <w:gridCol w:w="3660"/>
          </w:tblGrid>
        </w:tblGridChange>
      </w:tblGrid>
      <w:tr>
        <w:trPr>
          <w:cantSplit w:val="1"/>
          <w:trHeight w:val="585" w:hRule="atLeast"/>
          <w:tblHeader w:val="0"/>
        </w:trPr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0B">
            <w:pPr>
              <w:spacing w:after="40" w:before="40" w:lineRule="auto"/>
              <w:ind w:right="113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EVENTO</w:t>
            </w:r>
          </w:p>
        </w:tc>
        <w:tc>
          <w:tcPr>
            <w:gridSpan w:val="8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Denominação do Evento: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4">
            <w:pPr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Código/Registro RAEN/RAEX: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12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Período de Realização do Evento: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     -     -     a      -     -    </w:t>
            </w:r>
          </w:p>
        </w:tc>
        <w:tc>
          <w:tcPr>
            <w:gridSpan w:val="5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Horário de Realização do Evento: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     as    </w:t>
            </w:r>
          </w:p>
        </w:tc>
      </w:tr>
      <w:tr>
        <w:trPr>
          <w:cantSplit w:val="1"/>
          <w:trHeight w:val="438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Período de Reserva de Espaço para Pré-Organização: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     -     -     a      -     -    </w:t>
            </w:r>
          </w:p>
        </w:tc>
        <w:tc>
          <w:tcPr>
            <w:gridSpan w:val="5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Horário de Realização da Pré-Organização: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     as    </w:t>
            </w:r>
          </w:p>
        </w:tc>
      </w:tr>
      <w:tr>
        <w:trPr>
          <w:cantSplit w:val="1"/>
          <w:trHeight w:val="438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Período de Reserva de Espaço para Pós-Evento: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     -     -     a      -     -    </w:t>
            </w:r>
          </w:p>
        </w:tc>
        <w:tc>
          <w:tcPr>
            <w:gridSpan w:val="5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Horário de Realização do Pós-Evento: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     as    </w:t>
            </w:r>
          </w:p>
        </w:tc>
      </w:tr>
      <w:tr>
        <w:trPr>
          <w:cantSplit w:val="1"/>
          <w:trHeight w:val="312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Nº de envolvidos na apresentação/organização:</w:t>
            </w:r>
          </w:p>
        </w:tc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Nº de Público:</w:t>
            </w:r>
          </w:p>
        </w:tc>
      </w:tr>
      <w:tr>
        <w:trPr>
          <w:cantSplit w:val="1"/>
          <w:trHeight w:val="312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Público-alvo:      </w:t>
            </w:r>
          </w:p>
        </w:tc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72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Espaços Fechados:</w:t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bookmarkStart w:colFirst="0" w:colLast="0" w:name="_heading=h.3znysh7" w:id="1"/>
            <w:bookmarkEnd w:id="1"/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☐ Auditório da Biblioteca Central (160 lugares)</w:t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bookmarkStart w:colFirst="0" w:colLast="0" w:name="_heading=h.2et92p0" w:id="2"/>
            <w:bookmarkEnd w:id="2"/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☐ Hall da Biblioteca Central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bookmarkStart w:colFirst="0" w:colLast="0" w:name="_heading=h.tyjcwt" w:id="3"/>
            <w:bookmarkEnd w:id="3"/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☐ Auditório do Dep. de Engenharia Florestal(256 lu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gares)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bookmarkStart w:colFirst="0" w:colLast="0" w:name="_heading=h.3dy6vkm" w:id="4"/>
            <w:bookmarkEnd w:id="4"/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☐ Auditório do Dep. de Economia Rural(224 lugares)</w:t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bookmarkStart w:colFirst="0" w:colLast="0" w:name="_heading=h.1t3h5sf" w:id="5"/>
            <w:bookmarkEnd w:id="5"/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☐ Teatro do Dep. de Serviço Social(100 lugares)</w:t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bookmarkStart w:colFirst="0" w:colLast="0" w:name="_heading=h.4d34og8" w:id="6"/>
            <w:bookmarkEnd w:id="6"/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☐ Espaço Acadêmico-Cultural Fernando Sabino(70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0 lugares)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bookmarkStart w:colFirst="0" w:colLast="0" w:name="_heading=h.2s8eyo1" w:id="7"/>
            <w:bookmarkEnd w:id="7"/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☐ Espaço Multiuso</w:t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bookmarkStart w:colFirst="0" w:colLast="0" w:name="_heading=h.17dp8vu" w:id="8"/>
            <w:bookmarkEnd w:id="8"/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☐ Hall do Centro de Vivência</w:t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bookmarkStart w:colFirst="0" w:colLast="0" w:name="_heading=h.3rdcrjn" w:id="9"/>
            <w:bookmarkEnd w:id="9"/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☐ Mezanino do Centro de Vivência</w:t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bookmarkStart w:colFirst="0" w:colLast="0" w:name="_heading=h.26in1rg" w:id="10"/>
            <w:bookmarkEnd w:id="10"/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☐ Auditório do Dep. de Agronomia(174 lugares)</w:t>
            </w:r>
          </w:p>
          <w:p w:rsidR="00000000" w:rsidDel="00000000" w:rsidP="00000000" w:rsidRDefault="00000000" w:rsidRPr="00000000" w14:paraId="00000059">
            <w:pPr>
              <w:rPr>
                <w:rFonts w:ascii="Calibri" w:cs="Calibri" w:eastAsia="Calibri" w:hAnsi="Calibri"/>
                <w:sz w:val="22"/>
                <w:szCs w:val="22"/>
              </w:rPr>
            </w:pPr>
            <w:bookmarkStart w:colFirst="0" w:colLast="0" w:name="_heading=h.26in1rg" w:id="10"/>
            <w:bookmarkEnd w:id="10"/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☐ Auditório do Dep. de Tecnologia de Alimentos(240 lugares)</w:t>
            </w:r>
          </w:p>
        </w:tc>
        <w:tc>
          <w:tcPr>
            <w:gridSpan w:val="5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Espaços Abertos: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bookmarkStart w:colFirst="0" w:colLast="0" w:name="_heading=h.lnxbz9" w:id="11"/>
            <w:bookmarkEnd w:id="11"/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☐ Recanto das Cigarras</w:t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bookmarkStart w:colFirst="0" w:colLast="0" w:name="_heading=h.35nkun2" w:id="12"/>
            <w:bookmarkEnd w:id="12"/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☐ Espaço Aberto de Eventos</w:t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bookmarkStart w:colFirst="0" w:colLast="0" w:name="_heading=h.1ksv4uv" w:id="13"/>
            <w:bookmarkEnd w:id="13"/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☐ Outros </w:t>
            </w: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92" w:hRule="atLeast"/>
          <w:tblHeader w:val="0"/>
        </w:trPr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13" w:firstLine="0"/>
              <w:jc w:val="center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COORDENAÇÃO</w:t>
            </w:r>
          </w:p>
        </w:tc>
        <w:tc>
          <w:tcPr>
            <w:gridSpan w:val="7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Coordenador do Evento:</w:t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     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CPF:</w:t>
            </w:r>
          </w:p>
          <w:p w:rsidR="00000000" w:rsidDel="00000000" w:rsidP="00000000" w:rsidRDefault="00000000" w:rsidRPr="00000000" w14:paraId="0000007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1"/>
          <w:trHeight w:val="492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Órgão/Entidade Promotor(a):</w:t>
            </w:r>
          </w:p>
          <w:p w:rsidR="00000000" w:rsidDel="00000000" w:rsidP="00000000" w:rsidRDefault="00000000" w:rsidRPr="00000000" w14:paraId="0000007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     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Telefone:</w:t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1"/>
          <w:trHeight w:val="492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Cargo/Função do Coordenador:</w:t>
            </w:r>
          </w:p>
          <w:p w:rsidR="00000000" w:rsidDel="00000000" w:rsidP="00000000" w:rsidRDefault="00000000" w:rsidRPr="00000000" w14:paraId="0000008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     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Telefone:</w:t>
            </w:r>
          </w:p>
          <w:p w:rsidR="00000000" w:rsidDel="00000000" w:rsidP="00000000" w:rsidRDefault="00000000" w:rsidRPr="00000000" w14:paraId="0000008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1"/>
          <w:trHeight w:val="492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Endereço/e-mail: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Celular:</w:t>
            </w:r>
          </w:p>
          <w:p w:rsidR="00000000" w:rsidDel="00000000" w:rsidP="00000000" w:rsidRDefault="00000000" w:rsidRPr="00000000" w14:paraId="0000009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92" w:hRule="atLeast"/>
          <w:tblHeader w:val="0"/>
        </w:trPr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13" w:firstLine="0"/>
              <w:jc w:val="center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PARCERIA</w:t>
            </w:r>
          </w:p>
        </w:tc>
        <w:tc>
          <w:tcPr>
            <w:gridSpan w:val="7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Parceiro Institucional:</w:t>
            </w:r>
          </w:p>
          <w:p w:rsidR="00000000" w:rsidDel="00000000" w:rsidP="00000000" w:rsidRDefault="00000000" w:rsidRPr="00000000" w14:paraId="0000009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     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Órgão:</w:t>
            </w:r>
          </w:p>
          <w:p w:rsidR="00000000" w:rsidDel="00000000" w:rsidP="00000000" w:rsidRDefault="00000000" w:rsidRPr="00000000" w14:paraId="000000A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1"/>
          <w:trHeight w:val="492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Função:</w:t>
            </w:r>
          </w:p>
          <w:p w:rsidR="00000000" w:rsidDel="00000000" w:rsidP="00000000" w:rsidRDefault="00000000" w:rsidRPr="00000000" w14:paraId="000000A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     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Telefone:</w:t>
            </w:r>
          </w:p>
          <w:p w:rsidR="00000000" w:rsidDel="00000000" w:rsidP="00000000" w:rsidRDefault="00000000" w:rsidRPr="00000000" w14:paraId="000000B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1"/>
          <w:trHeight w:val="492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Observação:</w:t>
            </w:r>
          </w:p>
          <w:p w:rsidR="00000000" w:rsidDel="00000000" w:rsidP="00000000" w:rsidRDefault="00000000" w:rsidRPr="00000000" w14:paraId="000000B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1"/>
          <w:trHeight w:val="361" w:hRule="atLeast"/>
          <w:tblHeader w:val="0"/>
        </w:trPr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OUTROS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Sim</w:t>
            </w:r>
          </w:p>
        </w:tc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Não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4" w:hRule="atLeast"/>
          <w:tblHeader w:val="0"/>
        </w:trPr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Taxa de Inscrição/Taxa do Convite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bookmarkStart w:colFirst="0" w:colLast="0" w:name="_heading=h.44sinio" w:id="14"/>
            <w:bookmarkEnd w:id="14"/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☐</w:t>
            </w:r>
          </w:p>
        </w:tc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bookmarkStart w:colFirst="0" w:colLast="0" w:name="_heading=h.2jxsxqh" w:id="15"/>
            <w:bookmarkEnd w:id="15"/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Valor: R$</w:t>
            </w:r>
          </w:p>
        </w:tc>
      </w:tr>
      <w:tr>
        <w:trPr>
          <w:cantSplit w:val="1"/>
          <w:trHeight w:val="316" w:hRule="atLeast"/>
          <w:tblHeader w:val="0"/>
        </w:trPr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Bebida Alcoólica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bookmarkStart w:colFirst="0" w:colLast="0" w:name="_heading=h.2xcytpi" w:id="16"/>
            <w:bookmarkEnd w:id="16"/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☐</w:t>
            </w:r>
          </w:p>
        </w:tc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bookmarkStart w:colFirst="0" w:colLast="0" w:name="_heading=h.1ci93xb" w:id="17"/>
            <w:bookmarkEnd w:id="17"/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16" w:hRule="atLeast"/>
          <w:tblHeader w:val="0"/>
        </w:trPr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Ciente das responsabilidades de gerenciamento dos resíduos do evento?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D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☐</w:t>
            </w:r>
          </w:p>
        </w:tc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50" w:hRule="atLeast"/>
          <w:tblHeader w:val="0"/>
        </w:trPr>
        <w:tc>
          <w:tcPr>
            <w:gridSpan w:val="10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Caso seja necessário o acompanhamento da equipe de TI e/ou a disponibilização de rede Wi-Fi, solicitamos a abertura de um chamado pelo site</w:t>
            </w:r>
            <w:hyperlink r:id="rId8">
              <w:r w:rsidDel="00000000" w:rsidR="00000000" w:rsidRPr="00000000">
                <w:rPr>
                  <w:rFonts w:ascii="Calibri" w:cs="Calibri" w:eastAsia="Calibri" w:hAnsi="Calibri"/>
                  <w:sz w:val="22"/>
                  <w:szCs w:val="22"/>
                  <w:rtl w:val="0"/>
                </w:rPr>
                <w:t xml:space="preserve"> </w:t>
              </w:r>
            </w:hyperlink>
            <w:hyperlink r:id="rId9">
              <w:r w:rsidDel="00000000" w:rsidR="00000000" w:rsidRPr="00000000">
                <w:rPr>
                  <w:rFonts w:ascii="Calibri" w:cs="Calibri" w:eastAsia="Calibri" w:hAnsi="Calibri"/>
                  <w:color w:val="1155cc"/>
                  <w:sz w:val="22"/>
                  <w:szCs w:val="22"/>
                  <w:u w:val="single"/>
                  <w:rtl w:val="0"/>
                </w:rPr>
                <w:t xml:space="preserve">https://chamado.dti.ufv.br/</w:t>
              </w:r>
            </w:hyperlink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, com antecedência mínima de 15 dias.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360" w:right="0" w:firstLine="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PPO/485/07</w:t>
      </w:r>
    </w:p>
    <w:p w:rsidR="00000000" w:rsidDel="00000000" w:rsidP="00000000" w:rsidRDefault="00000000" w:rsidRPr="00000000" w14:paraId="000000F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Instruções:</w:t>
      </w:r>
    </w:p>
    <w:p w:rsidR="00000000" w:rsidDel="00000000" w:rsidP="00000000" w:rsidRDefault="00000000" w:rsidRPr="00000000" w14:paraId="000000F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360" w:right="0" w:hanging="360"/>
        <w:jc w:val="both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 Resolução 12/2011 (CONSELHO UNIVERSITÁRIO) que prescreve sobre a realização de eventos nos Campus da Universidade Federal de Viçosa está disponível no site da Divisão de Eventos.</w:t>
      </w:r>
    </w:p>
    <w:p w:rsidR="00000000" w:rsidDel="00000000" w:rsidP="00000000" w:rsidRDefault="00000000" w:rsidRPr="00000000" w14:paraId="000000F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360" w:right="0" w:hanging="36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Formulários preenchidos manualmente não serão aceitos; a assinatura deve ser feita via Gov.br.</w:t>
      </w:r>
    </w:p>
    <w:p w:rsidR="00000000" w:rsidDel="00000000" w:rsidP="00000000" w:rsidRDefault="00000000" w:rsidRPr="00000000" w14:paraId="000000F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360" w:right="0" w:hanging="36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As Normas de Utilização dos Espaços Físicos, de responsabilidade da Divisão de Eventos, Campus Viçosa, estão disponíveis no mesmo site.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360" w:right="0" w:hanging="36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 registro de evento institucional deve ser feito pelo Sistema RAEX/RAEN, tornando legal e legítima a atividade.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360" w:right="0" w:hanging="36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É imprescindível, durante a realização do evento, a presença do coordenador do evento, bem como, do parceiro institucional, nos casos de eventos em parceria.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360" w:right="0" w:hanging="36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 reserva de espaços físicos somente será efetivada após análise dos pedidos pela Comissão de Pró-Reitores.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360" w:right="0" w:hanging="360"/>
        <w:jc w:val="both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 pagamento de taxas dos eventos Não-Institucional e Não-Institucional em Parceria deverá ocorrer no prazo de 05 (cinco) dias úteis antes da realização dos mesmos. </w:t>
      </w:r>
    </w:p>
    <w:p w:rsidR="00000000" w:rsidDel="00000000" w:rsidP="00000000" w:rsidRDefault="00000000" w:rsidRPr="00000000" w14:paraId="000000F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360" w:right="0" w:hanging="360"/>
        <w:jc w:val="both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 UFV,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por meio da Divisão de Gerenciamento de Resíduos, coleta e destina apenas os resíduos gerados por eventos institucionais. Eventos de terceiros, realizados em espaços da UFV devem se programar para contratação de serviços de limpeza e destinação adequada dos resíduos, separados em Recicláveis, Orgânicos e Rejeitos. Cabe aos responsáveis por estes eventos, apresentar comprovação de destinação adequada (nota fiscal, certificado de destinação final ou documento equivalente) em até 5 (cinco) dias úteis após a finalização do evento para a Divisão de Gerenciamento de Resíduos através do e-mail </w:t>
      </w:r>
      <w:hyperlink r:id="rId10">
        <w:r w:rsidDel="00000000" w:rsidR="00000000" w:rsidRPr="00000000">
          <w:rPr>
            <w:rFonts w:ascii="Calibri" w:cs="Calibri" w:eastAsia="Calibri" w:hAnsi="Calibri"/>
            <w:color w:val="1155cc"/>
            <w:sz w:val="22"/>
            <w:szCs w:val="22"/>
            <w:u w:val="single"/>
            <w:rtl w:val="0"/>
          </w:rPr>
          <w:t xml:space="preserve">residuos@ufv.br</w:t>
        </w:r>
      </w:hyperlink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. Maiores informações podem ser encontradas na página </w:t>
      </w:r>
      <w:hyperlink r:id="rId11">
        <w:r w:rsidDel="00000000" w:rsidR="00000000" w:rsidRPr="00000000">
          <w:rPr>
            <w:rFonts w:ascii="Calibri" w:cs="Calibri" w:eastAsia="Calibri" w:hAnsi="Calibri"/>
            <w:color w:val="1155cc"/>
            <w:sz w:val="22"/>
            <w:szCs w:val="22"/>
            <w:u w:val="single"/>
            <w:rtl w:val="0"/>
          </w:rPr>
          <w:t xml:space="preserve">https://meioambiente.ufv.br/residuos/seja-um-unidade-lixo-zero/</w:t>
        </w:r>
      </w:hyperlink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360" w:right="0" w:firstLine="0"/>
        <w:jc w:val="both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Descritivo/Objetivo do Evento:</w:t>
      </w:r>
    </w:p>
    <w:tbl>
      <w:tblPr>
        <w:tblStyle w:val="Table3"/>
        <w:tblW w:w="10095.0" w:type="dxa"/>
        <w:jc w:val="left"/>
        <w:tblInd w:w="-318.0" w:type="dxa"/>
        <w:tblLayout w:type="fixed"/>
        <w:tblLook w:val="0000"/>
      </w:tblPr>
      <w:tblGrid>
        <w:gridCol w:w="10095"/>
        <w:tblGridChange w:id="0">
          <w:tblGrid>
            <w:gridCol w:w="1009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F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Programação do Evento:</w:t>
      </w:r>
    </w:p>
    <w:tbl>
      <w:tblPr>
        <w:tblStyle w:val="Table4"/>
        <w:tblW w:w="10095.0" w:type="dxa"/>
        <w:jc w:val="left"/>
        <w:tblInd w:w="-318.0" w:type="dxa"/>
        <w:tblLayout w:type="fixed"/>
        <w:tblLook w:val="0000"/>
      </w:tblPr>
      <w:tblGrid>
        <w:gridCol w:w="10095"/>
        <w:tblGridChange w:id="0">
          <w:tblGrid>
            <w:gridCol w:w="1009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3">
      <w:pPr>
        <w:pStyle w:val="Heading4"/>
        <w:numPr>
          <w:ilvl w:val="3"/>
          <w:numId w:val="1"/>
        </w:numPr>
        <w:ind w:left="0" w:hanging="864"/>
        <w:rPr>
          <w:rFonts w:ascii="Calibri" w:cs="Calibri" w:eastAsia="Calibri" w:hAnsi="Calibri"/>
          <w:sz w:val="22"/>
          <w:szCs w:val="22"/>
        </w:rPr>
      </w:pPr>
      <w:bookmarkStart w:colFirst="0" w:colLast="0" w:name="_heading=h.b12hx51fmo9w" w:id="18"/>
      <w:bookmarkEnd w:id="18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pStyle w:val="Heading4"/>
        <w:numPr>
          <w:ilvl w:val="3"/>
          <w:numId w:val="1"/>
        </w:numPr>
        <w:ind w:left="0" w:hanging="864"/>
        <w:rPr>
          <w:rFonts w:ascii="Calibri" w:cs="Calibri" w:eastAsia="Calibri" w:hAnsi="Calibri"/>
          <w:sz w:val="22"/>
          <w:szCs w:val="22"/>
        </w:rPr>
      </w:pPr>
      <w:bookmarkStart w:colFirst="0" w:colLast="0" w:name="_heading=h.3ngmnjryv010" w:id="19"/>
      <w:bookmarkEnd w:id="19"/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TERMO DE COMPROMISSO</w:t>
      </w:r>
    </w:p>
    <w:p w:rsidR="00000000" w:rsidDel="00000000" w:rsidP="00000000" w:rsidRDefault="00000000" w:rsidRPr="00000000" w14:paraId="000001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Declaro conhecer os termos da Resolução 12/2011 do Conselho Universitário e as Normas de Utilização do Espaço Físico solicitado, assumindo o compromisso de cumpri-los, e estar ciente das minhas responsabilidades pela realização do evento      </w:t>
      </w:r>
    </w:p>
    <w:p w:rsidR="00000000" w:rsidDel="00000000" w:rsidP="00000000" w:rsidRDefault="00000000" w:rsidRPr="00000000" w14:paraId="000001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Viçosa,       de       de      .</w:t>
      </w:r>
    </w:p>
    <w:p w:rsidR="00000000" w:rsidDel="00000000" w:rsidP="00000000" w:rsidRDefault="00000000" w:rsidRPr="00000000" w14:paraId="000001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Assinatura digital do Coordenador.</w:t>
      </w:r>
    </w:p>
    <w:p w:rsidR="00000000" w:rsidDel="00000000" w:rsidP="00000000" w:rsidRDefault="00000000" w:rsidRPr="00000000" w14:paraId="000001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Assinatura digital do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Parceiro Institucional</w:t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1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0980.0" w:type="dxa"/>
        <w:jc w:val="left"/>
        <w:tblInd w:w="-783.9999999999999" w:type="dxa"/>
        <w:tblLayout w:type="fixed"/>
        <w:tblLook w:val="0000"/>
      </w:tblPr>
      <w:tblGrid>
        <w:gridCol w:w="2609"/>
        <w:gridCol w:w="2611"/>
        <w:gridCol w:w="2610"/>
        <w:gridCol w:w="3150"/>
        <w:tblGridChange w:id="0">
          <w:tblGrid>
            <w:gridCol w:w="2609"/>
            <w:gridCol w:w="2611"/>
            <w:gridCol w:w="2610"/>
            <w:gridCol w:w="3150"/>
          </w:tblGrid>
        </w:tblGridChange>
      </w:tblGrid>
      <w:tr>
        <w:trPr>
          <w:cantSplit w:val="1"/>
          <w:trHeight w:val="1428" w:hRule="atLeast"/>
          <w:tblHeader w:val="0"/>
        </w:trPr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2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COMISSÃO DE PRÓ-REITORES: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bookmarkStart w:colFirst="0" w:colLast="0" w:name="_heading=h.3whwml4" w:id="20"/>
            <w:bookmarkEnd w:id="20"/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DEFERIDO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bookmarkStart w:colFirst="0" w:colLast="0" w:name="_heading=h.2bn6wsx" w:id="21"/>
            <w:bookmarkEnd w:id="21"/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INDEFERIDO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A">
            <w:pPr>
              <w:pStyle w:val="Heading3"/>
              <w:numPr>
                <w:ilvl w:val="2"/>
                <w:numId w:val="1"/>
              </w:numPr>
              <w:ind w:left="0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DATA     -       -      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894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2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Pró-Reitor de Administração</w:t>
            </w:r>
          </w:p>
          <w:p w:rsidR="00000000" w:rsidDel="00000000" w:rsidP="00000000" w:rsidRDefault="00000000" w:rsidRPr="00000000" w14:paraId="0000013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3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Pró-Reitor de Assuntos Comunitários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3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Pró-Reitor de Extensão e Cultura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3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Pró-Reitor de Planejamento e Orçamento</w:t>
            </w:r>
          </w:p>
        </w:tc>
      </w:tr>
      <w:tr>
        <w:trPr>
          <w:cantSplit w:val="1"/>
          <w:trHeight w:val="894" w:hRule="atLeast"/>
          <w:tblHeader w:val="0"/>
        </w:trPr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3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Observações:      </w:t>
            </w:r>
          </w:p>
          <w:p w:rsidR="00000000" w:rsidDel="00000000" w:rsidP="00000000" w:rsidRDefault="00000000" w:rsidRPr="00000000" w14:paraId="0000013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12" w:type="default"/>
      <w:pgSz w:h="16838" w:w="11906" w:orient="portrait"/>
      <w:pgMar w:bottom="680" w:top="680" w:left="1134" w:right="851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Calibri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40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"/>
      <w:lvlJc w:val="left"/>
      <w:pPr>
        <w:ind w:left="432" w:hanging="432"/>
      </w:pPr>
      <w:rPr/>
    </w:lvl>
    <w:lvl w:ilvl="1">
      <w:start w:val="1"/>
      <w:numFmt w:val="decimal"/>
      <w:lvlText w:val=""/>
      <w:lvlJc w:val="left"/>
      <w:pPr>
        <w:ind w:left="576" w:hanging="576"/>
      </w:pPr>
      <w:rPr/>
    </w:lvl>
    <w:lvl w:ilvl="2">
      <w:start w:val="1"/>
      <w:numFmt w:val="decimal"/>
      <w:lvlText w:val=""/>
      <w:lvlJc w:val="left"/>
      <w:pPr>
        <w:ind w:left="720" w:hanging="720"/>
      </w:pPr>
      <w:rPr/>
    </w:lvl>
    <w:lvl w:ilvl="3">
      <w:start w:val="1"/>
      <w:numFmt w:val="decimal"/>
      <w:lvlText w:val=""/>
      <w:lvlJc w:val="left"/>
      <w:pPr>
        <w:ind w:left="864" w:hanging="864"/>
      </w:pPr>
      <w:rPr/>
    </w:lvl>
    <w:lvl w:ilvl="4">
      <w:start w:val="1"/>
      <w:numFmt w:val="decimal"/>
      <w:lvlText w:val=""/>
      <w:lvlJc w:val="left"/>
      <w:pPr>
        <w:ind w:left="1008" w:hanging="1008"/>
      </w:pPr>
      <w:rPr/>
    </w:lvl>
    <w:lvl w:ilvl="5">
      <w:start w:val="1"/>
      <w:numFmt w:val="decimal"/>
      <w:lvlText w:val=""/>
      <w:lvlJc w:val="left"/>
      <w:pPr>
        <w:ind w:left="1152" w:hanging="1152"/>
      </w:pPr>
      <w:rPr/>
    </w:lvl>
    <w:lvl w:ilvl="6">
      <w:start w:val="1"/>
      <w:numFmt w:val="decimal"/>
      <w:lvlText w:val=""/>
      <w:lvlJc w:val="left"/>
      <w:pPr>
        <w:ind w:left="1296" w:hanging="1296"/>
      </w:pPr>
      <w:rPr/>
    </w:lvl>
    <w:lvl w:ilvl="7">
      <w:start w:val="1"/>
      <w:numFmt w:val="decimal"/>
      <w:lvlText w:val=""/>
      <w:lvlJc w:val="left"/>
      <w:pPr>
        <w:ind w:left="0" w:firstLine="0"/>
      </w:pPr>
      <w:rPr/>
    </w:lvl>
    <w:lvl w:ilvl="8">
      <w:start w:val="1"/>
      <w:numFmt w:val="decimal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"/>
      <w:lvlJc w:val="left"/>
      <w:pPr>
        <w:ind w:left="0" w:firstLine="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"/>
      <w:lvlJc w:val="left"/>
      <w:pPr>
        <w:ind w:left="0" w:firstLine="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"/>
      <w:lvlJc w:val="left"/>
      <w:pPr>
        <w:ind w:left="0" w:firstLine="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432" w:right="0" w:hanging="432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16"/>
      <w:szCs w:val="16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576" w:right="0" w:hanging="576"/>
      <w:jc w:val="center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0" w:line="240" w:lineRule="auto"/>
      <w:ind w:left="720" w:right="0" w:hanging="720"/>
      <w:jc w:val="center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14"/>
      <w:szCs w:val="1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864" w:right="0" w:hanging="864"/>
      <w:jc w:val="center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40" w:line="240" w:lineRule="auto"/>
      <w:ind w:left="1008" w:right="0" w:hanging="1008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18"/>
      <w:szCs w:val="18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1152" w:right="0" w:hanging="1152"/>
      <w:jc w:val="center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18"/>
      <w:szCs w:val="18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Ttulo7">
    <w:name w:val="heading 7"/>
    <w:basedOn w:val="normal1"/>
    <w:next w:val="normal1"/>
    <w:qFormat w:val="1"/>
    <w:pPr>
      <w:keepNext w:val="1"/>
      <w:numPr>
        <w:ilvl w:val="6"/>
        <w:numId w:val="1"/>
      </w:numPr>
      <w:jc w:val="center"/>
      <w:outlineLvl w:val="6"/>
    </w:pPr>
    <w:rPr>
      <w:b w:val="1"/>
      <w:bCs w:val="1"/>
      <w:sz w:val="48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character" w:styleId="WW8Num2z0" w:customStyle="1">
    <w:name w:val="WW8Num2z0"/>
    <w:qFormat w:val="1"/>
    <w:rPr>
      <w:rFonts w:ascii="Symbol" w:cs="Symbol" w:hAnsi="Symbol"/>
    </w:rPr>
  </w:style>
  <w:style w:type="character" w:styleId="WW8Num1z0" w:customStyle="1">
    <w:name w:val="WW8Num1z0"/>
    <w:qFormat w:val="1"/>
  </w:style>
  <w:style w:type="character" w:styleId="WW8Num1z1" w:customStyle="1">
    <w:name w:val="WW8Num1z1"/>
    <w:qFormat w:val="1"/>
  </w:style>
  <w:style w:type="character" w:styleId="WW8Num1z2" w:customStyle="1">
    <w:name w:val="WW8Num1z2"/>
    <w:qFormat w:val="1"/>
  </w:style>
  <w:style w:type="character" w:styleId="WW8Num1z3" w:customStyle="1">
    <w:name w:val="WW8Num1z3"/>
    <w:qFormat w:val="1"/>
  </w:style>
  <w:style w:type="character" w:styleId="WW8Num1z4" w:customStyle="1">
    <w:name w:val="WW8Num1z4"/>
    <w:qFormat w:val="1"/>
  </w:style>
  <w:style w:type="character" w:styleId="WW8Num1z5" w:customStyle="1">
    <w:name w:val="WW8Num1z5"/>
    <w:qFormat w:val="1"/>
  </w:style>
  <w:style w:type="character" w:styleId="WW8Num1z6" w:customStyle="1">
    <w:name w:val="WW8Num1z6"/>
    <w:qFormat w:val="1"/>
  </w:style>
  <w:style w:type="character" w:styleId="WW8Num1z7" w:customStyle="1">
    <w:name w:val="WW8Num1z7"/>
    <w:qFormat w:val="1"/>
  </w:style>
  <w:style w:type="character" w:styleId="WW8Num1z8" w:customStyle="1">
    <w:name w:val="WW8Num1z8"/>
    <w:qFormat w:val="1"/>
  </w:style>
  <w:style w:type="character" w:styleId="WW8Num2z1" w:customStyle="1">
    <w:name w:val="WW8Num2z1"/>
    <w:qFormat w:val="1"/>
  </w:style>
  <w:style w:type="character" w:styleId="WW8Num2z2" w:customStyle="1">
    <w:name w:val="WW8Num2z2"/>
    <w:qFormat w:val="1"/>
  </w:style>
  <w:style w:type="character" w:styleId="WW8Num2z3" w:customStyle="1">
    <w:name w:val="WW8Num2z3"/>
    <w:qFormat w:val="1"/>
  </w:style>
  <w:style w:type="character" w:styleId="WW8Num2z4" w:customStyle="1">
    <w:name w:val="WW8Num2z4"/>
    <w:qFormat w:val="1"/>
  </w:style>
  <w:style w:type="character" w:styleId="WW8Num2z5" w:customStyle="1">
    <w:name w:val="WW8Num2z5"/>
    <w:qFormat w:val="1"/>
  </w:style>
  <w:style w:type="character" w:styleId="WW8Num2z6" w:customStyle="1">
    <w:name w:val="WW8Num2z6"/>
    <w:qFormat w:val="1"/>
  </w:style>
  <w:style w:type="character" w:styleId="WW8Num2z7" w:customStyle="1">
    <w:name w:val="WW8Num2z7"/>
    <w:qFormat w:val="1"/>
  </w:style>
  <w:style w:type="character" w:styleId="WW8Num2z8" w:customStyle="1">
    <w:name w:val="WW8Num2z8"/>
    <w:qFormat w:val="1"/>
  </w:style>
  <w:style w:type="character" w:styleId="WW8Num3z0" w:customStyle="1">
    <w:name w:val="WW8Num3z0"/>
    <w:qFormat w:val="1"/>
    <w:rPr>
      <w:rFonts w:ascii="Symbol" w:cs="Symbol" w:hAnsi="Symbol"/>
      <w:color w:val="000000"/>
      <w:sz w:val="22"/>
      <w:szCs w:val="22"/>
    </w:rPr>
  </w:style>
  <w:style w:type="character" w:styleId="WW8Num4z0" w:customStyle="1">
    <w:name w:val="WW8Num4z0"/>
    <w:qFormat w:val="1"/>
    <w:rPr>
      <w:rFonts w:ascii="Symbol" w:cs="Symbol" w:hAnsi="Symbol"/>
    </w:rPr>
  </w:style>
  <w:style w:type="character" w:styleId="WW8Num3z1" w:customStyle="1">
    <w:name w:val="WW8Num3z1"/>
    <w:qFormat w:val="1"/>
  </w:style>
  <w:style w:type="character" w:styleId="WW8Num3z2" w:customStyle="1">
    <w:name w:val="WW8Num3z2"/>
    <w:qFormat w:val="1"/>
  </w:style>
  <w:style w:type="character" w:styleId="WW8Num3z3" w:customStyle="1">
    <w:name w:val="WW8Num3z3"/>
    <w:qFormat w:val="1"/>
  </w:style>
  <w:style w:type="character" w:styleId="WW8Num3z4" w:customStyle="1">
    <w:name w:val="WW8Num3z4"/>
    <w:qFormat w:val="1"/>
  </w:style>
  <w:style w:type="character" w:styleId="WW8Num3z5" w:customStyle="1">
    <w:name w:val="WW8Num3z5"/>
    <w:qFormat w:val="1"/>
  </w:style>
  <w:style w:type="character" w:styleId="WW8Num3z6" w:customStyle="1">
    <w:name w:val="WW8Num3z6"/>
    <w:qFormat w:val="1"/>
  </w:style>
  <w:style w:type="character" w:styleId="WW8Num3z7" w:customStyle="1">
    <w:name w:val="WW8Num3z7"/>
    <w:qFormat w:val="1"/>
  </w:style>
  <w:style w:type="character" w:styleId="WW8Num3z8" w:customStyle="1">
    <w:name w:val="WW8Num3z8"/>
    <w:qFormat w:val="1"/>
  </w:style>
  <w:style w:type="character" w:styleId="WW8Num5z0" w:customStyle="1">
    <w:name w:val="WW8Num5z0"/>
    <w:qFormat w:val="1"/>
    <w:rPr>
      <w:rFonts w:ascii="Symbol" w:cs="Symbol" w:hAnsi="Symbol"/>
    </w:rPr>
  </w:style>
  <w:style w:type="character" w:styleId="InternetLink" w:customStyle="1">
    <w:name w:val="Internet Link"/>
    <w:basedOn w:val="Fontepargpadro"/>
    <w:qFormat w:val="1"/>
    <w:rPr>
      <w:color w:val="0000ff"/>
      <w:u w:val="single"/>
    </w:rPr>
  </w:style>
  <w:style w:type="character" w:styleId="CorpodetextoChar" w:customStyle="1">
    <w:name w:val="Corpo de texto Char"/>
    <w:basedOn w:val="Fontepargpadro"/>
    <w:qFormat w:val="1"/>
    <w:rPr>
      <w:b w:val="1"/>
      <w:bCs w:val="1"/>
      <w:sz w:val="18"/>
      <w:szCs w:val="24"/>
    </w:rPr>
  </w:style>
  <w:style w:type="character" w:styleId="CabealhoChar" w:customStyle="1">
    <w:name w:val="Cabeçalho Char"/>
    <w:basedOn w:val="Fontepargpadro"/>
    <w:qFormat w:val="1"/>
    <w:rPr>
      <w:sz w:val="24"/>
      <w:szCs w:val="24"/>
    </w:rPr>
  </w:style>
  <w:style w:type="character" w:styleId="Hyperlink">
    <w:name w:val="Hyperlink"/>
    <w:rPr>
      <w:color w:val="000080"/>
      <w:u w:val="single"/>
    </w:rPr>
  </w:style>
  <w:style w:type="paragraph" w:styleId="Corpodetexto">
    <w:name w:val="Body Text"/>
    <w:basedOn w:val="normal1"/>
    <w:pPr>
      <w:jc w:val="center"/>
    </w:pPr>
    <w:rPr>
      <w:b w:val="1"/>
      <w:bCs w:val="1"/>
      <w:sz w:val="18"/>
    </w:rPr>
  </w:style>
  <w:style w:type="paragraph" w:styleId="Lista">
    <w:name w:val="List"/>
    <w:basedOn w:val="Corpodetexto"/>
    <w:rPr>
      <w:rFonts w:cs="Lohit Hindi"/>
    </w:rPr>
  </w:style>
  <w:style w:type="paragraph" w:styleId="Legenda">
    <w:name w:val="caption"/>
    <w:basedOn w:val="normal1"/>
    <w:qFormat w:val="1"/>
    <w:pPr>
      <w:suppressLineNumbers w:val="1"/>
      <w:spacing w:after="120" w:before="120"/>
    </w:pPr>
    <w:rPr>
      <w:rFonts w:cs="Lucida Sans"/>
      <w:i w:val="1"/>
      <w:iCs w:val="1"/>
    </w:rPr>
  </w:style>
  <w:style w:type="paragraph" w:styleId="ndice" w:customStyle="1">
    <w:name w:val="Índice"/>
    <w:basedOn w:val="normal1"/>
    <w:qFormat w:val="1"/>
    <w:pPr>
      <w:suppressLineNumbers w:val="1"/>
    </w:pPr>
    <w:rPr>
      <w:rFonts w:cs="Lohit Hindi"/>
    </w:rPr>
  </w:style>
  <w:style w:type="paragraph" w:styleId="normal1" w:customStyle="1">
    <w:name w:val="normal1"/>
    <w:qFormat w:val="1"/>
  </w:style>
  <w:style w:type="paragraph" w:styleId="caption1" w:customStyle="1">
    <w:name w:val="caption1"/>
    <w:basedOn w:val="normal1"/>
    <w:qFormat w:val="1"/>
    <w:pPr>
      <w:suppressLineNumbers w:val="1"/>
      <w:spacing w:after="120" w:before="120"/>
    </w:pPr>
    <w:rPr>
      <w:rFonts w:cs="Lohit Hindi"/>
      <w:i w:val="1"/>
      <w:iCs w:val="1"/>
    </w:rPr>
  </w:style>
  <w:style w:type="paragraph" w:styleId="Corpodetexto2">
    <w:name w:val="Body Text 2"/>
    <w:basedOn w:val="normal1"/>
    <w:qFormat w:val="1"/>
    <w:rPr>
      <w:sz w:val="20"/>
    </w:rPr>
  </w:style>
  <w:style w:type="paragraph" w:styleId="Corpodetexto3">
    <w:name w:val="Body Text 3"/>
    <w:basedOn w:val="normal1"/>
    <w:qFormat w:val="1"/>
    <w:pPr>
      <w:jc w:val="center"/>
    </w:pPr>
  </w:style>
  <w:style w:type="paragraph" w:styleId="NormalWeb">
    <w:name w:val="Normal (Web)"/>
    <w:basedOn w:val="normal1"/>
    <w:qFormat w:val="1"/>
    <w:pPr>
      <w:spacing w:after="100" w:before="100"/>
    </w:pPr>
    <w:rPr>
      <w:color w:val="000000"/>
    </w:rPr>
  </w:style>
  <w:style w:type="paragraph" w:styleId="Textodebalo">
    <w:name w:val="Balloon Text"/>
    <w:basedOn w:val="normal1"/>
    <w:qFormat w:val="1"/>
    <w:rPr>
      <w:rFonts w:ascii="Tahoma" w:cs="Tahoma" w:hAnsi="Tahoma"/>
      <w:sz w:val="16"/>
      <w:szCs w:val="16"/>
    </w:rPr>
  </w:style>
  <w:style w:type="paragraph" w:styleId="info" w:customStyle="1">
    <w:name w:val="info"/>
    <w:basedOn w:val="normal1"/>
    <w:qFormat w:val="1"/>
    <w:pPr>
      <w:spacing w:after="100" w:before="100"/>
      <w:jc w:val="both"/>
    </w:pPr>
    <w:rPr>
      <w:color w:val="000000"/>
      <w:sz w:val="20"/>
      <w:szCs w:val="20"/>
    </w:rPr>
  </w:style>
  <w:style w:type="paragraph" w:styleId="CabealhoeRodap" w:customStyle="1">
    <w:name w:val="Cabeçalho e Rodapé"/>
    <w:basedOn w:val="normal1"/>
    <w:qFormat w:val="1"/>
    <w:pPr>
      <w:suppressLineNumbers w:val="1"/>
      <w:tabs>
        <w:tab w:val="center" w:pos="4819"/>
        <w:tab w:val="right" w:pos="9638"/>
      </w:tabs>
    </w:pPr>
  </w:style>
  <w:style w:type="paragraph" w:styleId="Cabealhoerodap1" w:customStyle="1">
    <w:name w:val="Cabeçalho e rodapé1"/>
    <w:basedOn w:val="normal1"/>
    <w:qFormat w:val="1"/>
    <w:pPr>
      <w:suppressLineNumbers w:val="1"/>
      <w:tabs>
        <w:tab w:val="center" w:pos="4819"/>
        <w:tab w:val="right" w:pos="9638"/>
      </w:tabs>
    </w:pPr>
  </w:style>
  <w:style w:type="paragraph" w:styleId="Cabealhoerodap2" w:customStyle="1">
    <w:name w:val="Cabeçalho e rodapé2"/>
    <w:basedOn w:val="normal1"/>
    <w:qFormat w:val="1"/>
    <w:pPr>
      <w:suppressLineNumbers w:val="1"/>
      <w:tabs>
        <w:tab w:val="center" w:pos="4819"/>
        <w:tab w:val="right" w:pos="9638"/>
      </w:tabs>
    </w:pPr>
  </w:style>
  <w:style w:type="paragraph" w:styleId="Cabealhoerodap3" w:customStyle="1">
    <w:name w:val="Cabeçalho e rodapé3"/>
    <w:basedOn w:val="Normal"/>
    <w:qFormat w:val="1"/>
  </w:style>
  <w:style w:type="paragraph" w:styleId="Cabealhoerodap4" w:customStyle="1">
    <w:name w:val="Cabeçalho e rodapé4"/>
    <w:basedOn w:val="Normal"/>
    <w:qFormat w:val="1"/>
  </w:style>
  <w:style w:type="paragraph" w:styleId="Cabealho">
    <w:name w:val="header"/>
    <w:basedOn w:val="normal1"/>
    <w:pPr>
      <w:tabs>
        <w:tab w:val="center" w:pos="4419"/>
        <w:tab w:val="right" w:pos="8838"/>
      </w:tabs>
      <w:spacing w:before="120"/>
      <w:ind w:firstLine="1134"/>
      <w:jc w:val="both"/>
    </w:pPr>
  </w:style>
  <w:style w:type="paragraph" w:styleId="Contedodatabela" w:customStyle="1">
    <w:name w:val="Conteúdo da tabela"/>
    <w:basedOn w:val="normal1"/>
    <w:qFormat w:val="1"/>
    <w:pPr>
      <w:suppressLineNumbers w:val="1"/>
    </w:pPr>
  </w:style>
  <w:style w:type="paragraph" w:styleId="Ttulodetabela" w:customStyle="1">
    <w:name w:val="Título de tabela"/>
    <w:basedOn w:val="Contedodatabela"/>
    <w:qFormat w:val="1"/>
    <w:pPr>
      <w:jc w:val="center"/>
    </w:pPr>
    <w:rPr>
      <w:b w:val="1"/>
      <w:bCs w:val="1"/>
    </w:rPr>
  </w:style>
  <w:style w:type="numbering" w:styleId="WW8Num1" w:customStyle="1">
    <w:name w:val="WW8Num1"/>
    <w:qFormat w:val="1"/>
  </w:style>
  <w:style w:type="numbering" w:styleId="WW8Num2" w:customStyle="1">
    <w:name w:val="WW8Num2"/>
    <w:qFormat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https://meioambiente.ufv.br/residuos/seja-um-unidade-lixo-zero/" TargetMode="External"/><Relationship Id="rId10" Type="http://schemas.openxmlformats.org/officeDocument/2006/relationships/hyperlink" Target="mailto:residuos@ufv.br" TargetMode="External"/><Relationship Id="rId12" Type="http://schemas.openxmlformats.org/officeDocument/2006/relationships/header" Target="header1.xml"/><Relationship Id="rId9" Type="http://schemas.openxmlformats.org/officeDocument/2006/relationships/hyperlink" Target="https://chamado.dti.ufv.br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chamado.dti.ufv.br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1NnhuW5evxy8FVrNttt07mO486Q==">CgMxLjAyCWguMWZvYjl0ZTIJaC4zem55c2g3MgloLjJldDkycDAyCGgudHlqY3d0MgloLjNkeTZ2a20yCWguMXQzaDVzZjIJaC40ZDM0b2c4MgloLjJzOGV5bzEyCWguMTdkcDh2dTIJaC4zcmRjcmpuMgloLjI2aW4xcmcyCWguMjZpbjFyZzIIaC5sbnhiejkyCWguMzVua3VuMjIJaC4xa3N2NHV2MgloLjQ0c2luaW8yCWguMmp4c3hxaDIJaC4yeGN5dHBpMgloLjFjaTkzeGIyDmguYjEyaHg1MWZtbzl3Mg5oLjNuZ21uanJ5djAxMDIJaC4zd2h3bWw0MgloLjJibjZ3c3g4AHIhMUVaVVdOYVdwXzZwT2ZlME9Kclk2a0w5akZWalhKajR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2012-10-15T08:45:00Z</dcterms:created>
  <dc:creator>Revista Ação Ambiental</dc:creator>
</cp:coreProperties>
</file>